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euteronomy-20"/>
    <w:p>
      <w:pPr>
        <w:pStyle w:val="Heading1"/>
      </w:pPr>
      <w:r>
        <w:t xml:space="preserve">Homiletics Analysis: Deuteronomy 20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Deuteronomy 20 is Moses’ comprehensive address to Israel on the theology and practice of holy war. The chapter opens with a foundational word of assurance (vv. 1–4): when Israel goes to battle against enemies greater than themselves — horses, chariots, armies — they are not to fear, because the LORD their God goes with them. The priest speaks this word to the army before engagement. Then follow four categories of exemption from military service (vv. 5–8): a man who has built a new house, planted a vineyard, betrothed a wife, or who is fearful and faint-hearted is to return home — partly to preserve normal life, partly to prevent fear from spreading through the ranks. Officers administer this process before battle. Verses 10–18 address two categories of enemy: distant cities (vv. 10–15), where Israel is to offer terms of peace, accept surrender and tribute, but fight if refused; and the Canaanite nations within the land (vv. 16–18), where no peace terms are offered and everything that breathes is to be devoted to destruction (</w:t>
      </w:r>
      <w:r>
        <w:rPr>
          <w:i/>
          <w:iCs/>
        </w:rPr>
        <w:t xml:space="preserve">herem</w:t>
      </w:r>
      <w:r>
        <w:t xml:space="preserve">) — because their religious contamination would corrupt Israel’s devotion to the LORD. The chapter closes (vv. 19–20) with an instruction that seems almost incongruous: do not cut down fruit trees during a siege, for the tree is not your enemy — only trees that bear no fruit may be used for siege works.</w:t>
      </w:r>
    </w:p>
    <w:p>
      <w:pPr>
        <w:pStyle w:val="BodyText"/>
      </w:pPr>
      <w:r>
        <w:rPr>
          <w:b/>
          <w:bCs/>
        </w:rPr>
        <w:t xml:space="preserve">This Text — Intent:</w:t>
      </w:r>
    </w:p>
    <w:p>
      <w:pPr>
        <w:pStyle w:val="BodyText"/>
      </w:pPr>
      <w:r>
        <w:t xml:space="preserve">God’s intent through this chapter is to reorient Israel’s fundamental orientation toward military conflict — and through it, toward every circumstance of overwhelming threat. The chapter does not primarily aim to regulate warfare strategy; it aims to relocate Israel’s confidence from earthly military calculus to the living presence of the LORD who fights for them. God is not merely granting exemptions or setting rules; He is exposing the nature of fear (its root is a failure to reckon with divine presence), defining the terms of faithful engagement (trust expressed as obedience even when the math says otherwise), diagnosing the spiritual danger that comes not from the enemy’s weapons but from the enemy’s gods, and calling Israel to a disciplined, God-centered engagement with an world that is both dangerous and morally ordered. The fruit-tree provision closes the chapter as a rebuke to the scorched-earth mentality that treats everything as an instrument of war — even creation is to be respected. The deepest intent is this: when you are outmatched, the question is not whether you can win but whether the LORD is with you — and He is.</w:t>
      </w:r>
    </w:p>
    <w:p>
      <w:r>
        <w:pict>
          <v:rect style="width:0;height:1.5pt" o:hralign="center" o:hrstd="t" o:hr="t"/>
        </w:pict>
      </w:r>
    </w:p>
    <w:p>
      <w:pPr>
        <w:pStyle w:val="FirstParagraph"/>
      </w:pPr>
      <w:r>
        <w:rPr>
          <w:b/>
          <w:bCs/>
        </w:rPr>
        <w:t xml:space="preserve">Subject Sentence:</w:t>
      </w:r>
      <w:r>
        <w:t xml:space="preserve"> </w:t>
      </w:r>
      <w:r>
        <w:t xml:space="preserve">Israel goes to war under divine command, divine presence, and divine protection — not under its own strength.</w:t>
      </w:r>
    </w:p>
    <w:p>
      <w:r>
        <w:pict>
          <v:rect style="width:0;height:1.5pt" o:hralign="center" o:hrstd="t" o:hr="t"/>
        </w:pict>
      </w:r>
    </w:p>
    <w:p>
      <w:pPr>
        <w:pStyle w:val="FirstParagraph"/>
      </w:pPr>
      <w:r>
        <w:rPr>
          <w:b/>
          <w:bCs/>
        </w:rPr>
        <w:t xml:space="preserve">Primary Claim:</w:t>
      </w:r>
      <w:r>
        <w:t xml:space="preserve"> </w:t>
      </w:r>
      <w:r>
        <w:t xml:space="preserve">God is calling His people to replace fear-driven calculation with trust-driven obedience by anchoring their confidence in His presence rather than their own resources — in war as in everything.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i/>
          <w:iCs/>
        </w:rPr>
        <w:t xml:space="preserve">Herem</w:t>
      </w:r>
      <w:r>
        <w:rPr>
          <w:b/>
          <w:bCs/>
        </w:rPr>
        <w:t xml:space="preserve"> </w:t>
      </w:r>
      <w:r>
        <w:rPr>
          <w:b/>
          <w:bCs/>
        </w:rPr>
        <w:t xml:space="preserve">Command (vv. 16–18) — The Most Contested Element:</w:t>
      </w:r>
    </w:p>
    <w:p>
      <w:pPr>
        <w:pStyle w:val="BodyText"/>
      </w:pPr>
      <w:r>
        <w:t xml:space="preserve">The instruction to utterly destroy the Canaanite nations (</w:t>
      </w:r>
      <w:r>
        <w:rPr>
          <w:i/>
          <w:iCs/>
        </w:rPr>
        <w:t xml:space="preserve">herem</w:t>
      </w:r>
      <w:r>
        <w:t xml:space="preserve">, devotion to destruction) is the most hermeneutically fraught section of Deuteronomy 20 and receives divergent treatment across traditions. Four major approaches exist.</w:t>
      </w:r>
    </w:p>
    <w:p>
      <w:pPr>
        <w:pStyle w:val="BodyText"/>
      </w:pPr>
      <w:r>
        <w:t xml:space="preserve">The</w:t>
      </w:r>
      <w:r>
        <w:t xml:space="preserve"> </w:t>
      </w:r>
      <w:r>
        <w:rPr>
          <w:i/>
          <w:iCs/>
        </w:rPr>
        <w:t xml:space="preserve">moralizing</w:t>
      </w:r>
      <w:r>
        <w:t xml:space="preserve"> </w:t>
      </w:r>
      <w:r>
        <w:t xml:space="preserve">reading — common in popular preaching across traditions — interprets the Canaanite extermination as primarily a judgment for Canaanite sin (supported by Genesis 15:16 and Leviticus 18), making it a precedent for God’s right to judge corrupt cultures. This reading is not wrong as far as it goes, but it often functions to domesticate the text — turning</w:t>
      </w:r>
      <w:r>
        <w:t xml:space="preserve"> </w:t>
      </w:r>
      <w:r>
        <w:rPr>
          <w:i/>
          <w:iCs/>
        </w:rPr>
        <w:t xml:space="preserve">herem</w:t>
      </w:r>
      <w:r>
        <w:t xml:space="preserve"> </w:t>
      </w:r>
      <w:r>
        <w:t xml:space="preserve">into a transferable principle about God’s justice, evacuating its specifically covenantal and typological force. The text does not primarily emphasize Canaanite guilt; it emphasizes the danger of their</w:t>
      </w:r>
      <w:r>
        <w:t xml:space="preserve"> </w:t>
      </w:r>
      <w:r>
        <w:rPr>
          <w:i/>
          <w:iCs/>
        </w:rPr>
        <w:t xml:space="preserve">religious contamination</w:t>
      </w:r>
      <w:r>
        <w:t xml:space="preserve"> </w:t>
      </w:r>
      <w:r>
        <w:t xml:space="preserve">(v. 18:</w:t>
      </w:r>
      <w:r>
        <w:t xml:space="preserve"> </w:t>
      </w:r>
      <w:r>
        <w:t xml:space="preserve">“that they may not teach you to do all their abominable practices”</w:t>
      </w:r>
      <w:r>
        <w:t xml:space="preserve">). The intent of the</w:t>
      </w:r>
      <w:r>
        <w:t xml:space="preserve"> </w:t>
      </w:r>
      <w:r>
        <w:rPr>
          <w:i/>
          <w:iCs/>
        </w:rPr>
        <w:t xml:space="preserve">herem</w:t>
      </w:r>
      <w:r>
        <w:t xml:space="preserve"> </w:t>
      </w:r>
      <w:r>
        <w:t xml:space="preserve">command is Israel’s purity before God, not the execution of retributive justice on pagan societies.</w:t>
      </w:r>
    </w:p>
    <w:p>
      <w:pPr>
        <w:pStyle w:val="BodyText"/>
      </w:pPr>
      <w:r>
        <w:t xml:space="preserve">The</w:t>
      </w:r>
      <w:r>
        <w:t xml:space="preserve"> </w:t>
      </w:r>
      <w:r>
        <w:rPr>
          <w:i/>
          <w:iCs/>
        </w:rPr>
        <w:t xml:space="preserve">progressive revelation</w:t>
      </w:r>
      <w:r>
        <w:t xml:space="preserve"> </w:t>
      </w:r>
      <w:r>
        <w:t xml:space="preserve">/</w:t>
      </w:r>
      <w:r>
        <w:t xml:space="preserve"> </w:t>
      </w:r>
      <w:r>
        <w:rPr>
          <w:i/>
          <w:iCs/>
        </w:rPr>
        <w:t xml:space="preserve">dispensational</w:t>
      </w:r>
      <w:r>
        <w:t xml:space="preserve"> </w:t>
      </w:r>
      <w:r>
        <w:t xml:space="preserve">reading treats the</w:t>
      </w:r>
      <w:r>
        <w:t xml:space="preserve"> </w:t>
      </w:r>
      <w:r>
        <w:rPr>
          <w:i/>
          <w:iCs/>
        </w:rPr>
        <w:t xml:space="preserve">herem</w:t>
      </w:r>
      <w:r>
        <w:t xml:space="preserve"> </w:t>
      </w:r>
      <w:r>
        <w:t xml:space="preserve">as a unique, bounded historical command — valid within the Mosaic economy for the conquest of Canaan, entirely inapplicable beyond that specific covenant context. This reading rightly insists on the bounded, unique character of the command. It should be acknowledged as capturing something essential:</w:t>
      </w:r>
      <w:r>
        <w:t xml:space="preserve"> </w:t>
      </w:r>
      <w:r>
        <w:rPr>
          <w:i/>
          <w:iCs/>
        </w:rPr>
        <w:t xml:space="preserve">herem</w:t>
      </w:r>
      <w:r>
        <w:t xml:space="preserve"> </w:t>
      </w:r>
      <w:r>
        <w:t xml:space="preserve">is not a general warrant for religious warfare. The error is in treating</w:t>
      </w:r>
      <w:r>
        <w:t xml:space="preserve"> </w:t>
      </w:r>
      <w:r>
        <w:rPr>
          <w:i/>
          <w:iCs/>
        </w:rPr>
        <w:t xml:space="preserve">herem</w:t>
      </w:r>
      <w:r>
        <w:t xml:space="preserve"> </w:t>
      </w:r>
      <w:r>
        <w:t xml:space="preserve">as merely historical rather than also typologically significant — pointing forward to the total victory of Christ over all that corrupts God’s people and the final judgment that consummates what the conquest foreshadowed.</w:t>
      </w:r>
    </w:p>
    <w:p>
      <w:pPr>
        <w:pStyle w:val="BodyText"/>
      </w:pPr>
      <w:r>
        <w:t xml:space="preserve">The</w:t>
      </w:r>
      <w:r>
        <w:t xml:space="preserve"> </w:t>
      </w:r>
      <w:r>
        <w:rPr>
          <w:i/>
          <w:iCs/>
        </w:rPr>
        <w:t xml:space="preserve">redemptive-historical / Reformed</w:t>
      </w:r>
      <w:r>
        <w:t xml:space="preserve"> </w:t>
      </w:r>
      <w:r>
        <w:t xml:space="preserve">reading — the preferred reading here — holds all three elements together: (1)</w:t>
      </w:r>
      <w:r>
        <w:t xml:space="preserve"> </w:t>
      </w:r>
      <w:r>
        <w:rPr>
          <w:i/>
          <w:iCs/>
        </w:rPr>
        <w:t xml:space="preserve">herem</w:t>
      </w:r>
      <w:r>
        <w:t xml:space="preserve"> </w:t>
      </w:r>
      <w:r>
        <w:t xml:space="preserve">is historically bounded, executed at a specific moment in covenantal history for specific purposes; (2) its rationale is explicitly spiritual — the preservation of Israel’s undivided devotion to the LORD in the land of promise; (3) it functions typologically, pointing to the final, eschatological cleansing of God’s renewed creation from every corrupting idolatry. It is not a model for Christian holy war, but it is not merely a historical curiosity — it is a covenant-shaping act that prefigures Christ’s total victory. The New Testament explicitly recodes</w:t>
      </w:r>
      <w:r>
        <w:t xml:space="preserve"> </w:t>
      </w:r>
      <w:r>
        <w:rPr>
          <w:i/>
          <w:iCs/>
        </w:rPr>
        <w:t xml:space="preserve">herem</w:t>
      </w:r>
      <w:r>
        <w:t xml:space="preserve"> </w:t>
      </w:r>
      <w:r>
        <w:t xml:space="preserve">categories: the people of God now contend not against flesh and blood but against spiritual powers (Ephesians 6:12), and the</w:t>
      </w:r>
      <w:r>
        <w:t xml:space="preserve"> </w:t>
      </w:r>
      <w:r>
        <w:t xml:space="preserve">“devoted thing”</w:t>
      </w:r>
      <w:r>
        <w:t xml:space="preserve"> </w:t>
      </w:r>
      <w:r>
        <w:t xml:space="preserve">is now idolatry within the believer’s own heart, not a ethnic people group.</w:t>
      </w:r>
    </w:p>
    <w:p>
      <w:pPr>
        <w:pStyle w:val="BodyText"/>
      </w:pPr>
      <w:r>
        <w:rPr>
          <w:b/>
          <w:bCs/>
        </w:rPr>
        <w:t xml:space="preserve">The Exemption Categories (vv. 5–8) — Human Concerns in Holy War:</w:t>
      </w:r>
    </w:p>
    <w:p>
      <w:pPr>
        <w:pStyle w:val="BodyText"/>
      </w:pPr>
      <w:r>
        <w:t xml:space="preserve">Some traditions, particularly those emphasizing human responsibility and the integration of creation care with covenant faithfulness, read the exemptions as primarily</w:t>
      </w:r>
      <w:r>
        <w:t xml:space="preserve"> </w:t>
      </w:r>
      <w:r>
        <w:rPr>
          <w:i/>
          <w:iCs/>
        </w:rPr>
        <w:t xml:space="preserve">pastoral</w:t>
      </w:r>
      <w:r>
        <w:t xml:space="preserve"> </w:t>
      </w:r>
      <w:r>
        <w:t xml:space="preserve">— God’s generous accommodation of legitimate human concerns (property, family, personal courage). The Reformed reading does not deny this pastoral dimension but insists that the exemptions serve a primarily</w:t>
      </w:r>
      <w:r>
        <w:t xml:space="preserve"> </w:t>
      </w:r>
      <w:r>
        <w:rPr>
          <w:i/>
          <w:iCs/>
        </w:rPr>
        <w:t xml:space="preserve">theological</w:t>
      </w:r>
      <w:r>
        <w:t xml:space="preserve"> </w:t>
      </w:r>
      <w:r>
        <w:t xml:space="preserve">function: they ensure that Israel’s victory cannot be attributed to superior numbers or superior courage. The fearful and faint-hearted are sent home not primarily to protect them but to prevent their unbelief from contaminating the rest of the army’s trust in God. Gideon’s conscription narrative (Judges 7) makes this explicit and should be read as the interpretive lens for this passage.</w:t>
      </w:r>
    </w:p>
    <w:p>
      <w:pPr>
        <w:pStyle w:val="BodyText"/>
      </w:pPr>
      <w:r>
        <w:rPr>
          <w:b/>
          <w:bCs/>
        </w:rPr>
        <w:t xml:space="preserve">The Fruit Tree Provision (vv. 19–20) — Creation Care or Practical Wisdom?</w:t>
      </w:r>
    </w:p>
    <w:p>
      <w:pPr>
        <w:pStyle w:val="BodyText"/>
      </w:pPr>
      <w:r>
        <w:t xml:space="preserve">Some ecological hermeneutics (particularly in Christian environmental ethics literature) have pressed verses 19–20 into service as a creation-care mandate, treating it as a foundational text for environmental stewardship in warfare contexts. This reading</w:t>
      </w:r>
      <w:r>
        <w:t xml:space="preserve"> </w:t>
      </w:r>
      <w:r>
        <w:rPr>
          <w:i/>
          <w:iCs/>
        </w:rPr>
        <w:t xml:space="preserve">acknowledges</w:t>
      </w:r>
      <w:r>
        <w:t xml:space="preserve"> </w:t>
      </w:r>
      <w:r>
        <w:t xml:space="preserve">a genuine truth — God’s moral ordering of creation means even enemies are not an excuse for gratuitous destruction. But it</w:t>
      </w:r>
      <w:r>
        <w:t xml:space="preserve"> </w:t>
      </w:r>
      <w:r>
        <w:rPr>
          <w:i/>
          <w:iCs/>
        </w:rPr>
        <w:t xml:space="preserve">qualifies</w:t>
      </w:r>
      <w:r>
        <w:t xml:space="preserve"> </w:t>
      </w:r>
      <w:r>
        <w:t xml:space="preserve">the ecological reading: the primary force of the text is not ecological but covenantal and moral. The fruit tree is not your</w:t>
      </w:r>
      <w:r>
        <w:t xml:space="preserve"> </w:t>
      </w:r>
      <w:r>
        <w:rPr>
          <w:i/>
          <w:iCs/>
        </w:rPr>
        <w:t xml:space="preserve">enemy</w:t>
      </w:r>
      <w:r>
        <w:t xml:space="preserve"> </w:t>
      </w:r>
      <w:r>
        <w:t xml:space="preserve">— that is the governing logic. It is a rebuke to the totalizing, scorched-earth mentality that treats all of reality as instrumental to military victory. The restraint called for here is a restraint rooted in the recognition that the created order has its own God-given purpose and value — not a general environmental ethic derived from the text.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14:13–14</w:t>
      </w:r>
      <w:r>
        <w:t xml:space="preserve"> </w:t>
      </w:r>
      <w:r>
        <w:t xml:space="preserve">—</w:t>
      </w:r>
      <w:r>
        <w:t xml:space="preserve"> </w:t>
      </w:r>
      <w:r>
        <w:t xml:space="preserve">“The LORD will fight for you; you need only to be still.”</w:t>
      </w:r>
      <w:r>
        <w:t xml:space="preserve"> </w:t>
      </w:r>
      <w:r>
        <w:t xml:space="preserve">The foundational statement of divine warfare on Israel’s behalf, establishing the theological axiom that Deuteronomy 20 applies to military engagement within the land.</w:t>
      </w:r>
    </w:p>
    <w:p>
      <w:pPr>
        <w:numPr>
          <w:ilvl w:val="0"/>
          <w:numId w:val="1001"/>
        </w:numPr>
      </w:pPr>
      <w:r>
        <w:rPr>
          <w:b/>
          <w:bCs/>
        </w:rPr>
        <w:t xml:space="preserve">Joshua 1:5–9</w:t>
      </w:r>
      <w:r>
        <w:t xml:space="preserve"> </w:t>
      </w:r>
      <w:r>
        <w:t xml:space="preserve">— God’s commission to Joshua repeats the exact assurance structure of Deuteronomy 20:1–4:</w:t>
      </w:r>
      <w:r>
        <w:t xml:space="preserve"> </w:t>
      </w:r>
      <w:r>
        <w:t xml:space="preserve">“Do not be afraid; do not be discouraged, for the LORD your God will be with you wherever you go.”</w:t>
      </w:r>
      <w:r>
        <w:t xml:space="preserve"> </w:t>
      </w:r>
      <w:r>
        <w:t xml:space="preserve">Deuteronomy 20 is the covenantal grounding for this commission.</w:t>
      </w:r>
    </w:p>
    <w:p>
      <w:pPr>
        <w:numPr>
          <w:ilvl w:val="0"/>
          <w:numId w:val="1001"/>
        </w:numPr>
      </w:pPr>
      <w:r>
        <w:rPr>
          <w:b/>
          <w:bCs/>
        </w:rPr>
        <w:t xml:space="preserve">Judges 7:1–8</w:t>
      </w:r>
      <w:r>
        <w:t xml:space="preserve"> </w:t>
      </w:r>
      <w:r>
        <w:t xml:space="preserve">— God’s reduction of Gideon’s army from 32,000 to 300 is the narrative outworking of the exemption principle: the victory must not be attributable to Israel’s strength. Judges 7 is the exegetical commentary on Deuteronomy 20:5–8.</w:t>
      </w:r>
    </w:p>
    <w:p>
      <w:pPr>
        <w:numPr>
          <w:ilvl w:val="0"/>
          <w:numId w:val="1001"/>
        </w:numPr>
      </w:pPr>
      <w:r>
        <w:rPr>
          <w:b/>
          <w:bCs/>
        </w:rPr>
        <w:t xml:space="preserve">Isaiah 31:1–3</w:t>
      </w:r>
      <w:r>
        <w:t xml:space="preserve"> </w:t>
      </w:r>
      <w:r>
        <w:t xml:space="preserve">—</w:t>
      </w:r>
      <w:r>
        <w:t xml:space="preserve"> </w:t>
      </w:r>
      <w:r>
        <w:t xml:space="preserve">“Woe to those who go down to Egypt for help, who rely on horses… but do not look to the Holy One of Israel.”</w:t>
      </w:r>
      <w:r>
        <w:t xml:space="preserve"> </w:t>
      </w:r>
      <w:r>
        <w:t xml:space="preserve">The prophetic extension of Deuteronomy 20’s logic — trusting in military superiority rather than in the LORD is the defining failure of Israel’s later history, the exact sin Deuteronomy 20 was designed to prevent.</w:t>
      </w:r>
    </w:p>
    <w:p>
      <w:pPr>
        <w:numPr>
          <w:ilvl w:val="0"/>
          <w:numId w:val="1001"/>
        </w:numPr>
      </w:pPr>
      <w:r>
        <w:rPr>
          <w:b/>
          <w:bCs/>
        </w:rPr>
        <w:t xml:space="preserve">Ephesians 6:10–17</w:t>
      </w:r>
      <w:r>
        <w:t xml:space="preserve"> </w:t>
      </w:r>
      <w:r>
        <w:t xml:space="preserve">— Paul’s</w:t>
      </w:r>
      <w:r>
        <w:t xml:space="preserve"> </w:t>
      </w:r>
      <w:r>
        <w:t xml:space="preserve">“full armor of God”</w:t>
      </w:r>
      <w:r>
        <w:t xml:space="preserve"> </w:t>
      </w:r>
      <w:r>
        <w:t xml:space="preserve">passage recodes the holy war tradition entirely for the church: the enemy is not flesh and blood, the weapons are spiritual, and the same logic applies — the believer stands, not in their own strength, but in the LORD’s. Deuteronomy 20 is not abolished but fulfilled and transposed.</w:t>
      </w:r>
    </w:p>
    <w:p>
      <w:r>
        <w:pict>
          <v:rect style="width:0;height:1.5pt" o:hralign="center" o:hrstd="t" o:hr="t"/>
        </w:pict>
      </w:r>
    </w:p>
    <w:p>
      <w:pPr>
        <w:pStyle w:val="FirstParagraph"/>
      </w:pPr>
      <w:r>
        <w:rPr>
          <w:b/>
          <w:bCs/>
        </w:rPr>
        <w:t xml:space="preserve">Aim:</w:t>
      </w:r>
      <w:r>
        <w:t xml:space="preserve"> </w:t>
      </w:r>
      <w:r>
        <w:t xml:space="preserve">To show from Deuteronomy 20 that the command to fear no enemy is not motivational rhetoric but a theological claim about the nature of divine presence — and to call the reader to a faith that trusts the LORD’s promise rather than its own assessment of the odds.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Command: Do not be afraid when you see armies greater than yours — the LORD your God is with you</w:t>
            </w:r>
          </w:p>
        </w:tc>
        <w:tc>
          <w:tcPr/>
          <w:p>
            <w:pPr>
              <w:pStyle w:val="Compact"/>
            </w:pPr>
            <w:r>
              <w:t xml:space="preserve">Foundational theological premise — presence precedes engagement</w:t>
            </w:r>
          </w:p>
        </w:tc>
      </w:tr>
      <w:tr>
        <w:tc>
          <w:tcPr/>
          <w:p>
            <w:pPr>
              <w:pStyle w:val="Compact"/>
            </w:pPr>
            <w:r>
              <w:t xml:space="preserve">2–4</w:t>
            </w:r>
          </w:p>
        </w:tc>
        <w:tc>
          <w:tcPr/>
          <w:p>
            <w:pPr>
              <w:pStyle w:val="Compact"/>
            </w:pPr>
            <w:r>
              <w:t xml:space="preserve">The priest addresses the army before battle: do not fear, do not panic, do not be terrified — the LORD fights for you</w:t>
            </w:r>
          </w:p>
        </w:tc>
        <w:tc>
          <w:tcPr/>
          <w:p>
            <w:pPr>
              <w:pStyle w:val="Compact"/>
            </w:pPr>
            <w:r>
              <w:t xml:space="preserve">Three-fold</w:t>
            </w:r>
            <w:r>
              <w:t xml:space="preserve"> </w:t>
            </w:r>
            <w:r>
              <w:t xml:space="preserve">“do not fear”</w:t>
            </w:r>
            <w:r>
              <w:t xml:space="preserve"> </w:t>
            </w:r>
            <w:r>
              <w:t xml:space="preserve">(v. 3); priestly role in warfare is liturgical — this is a worship act</w:t>
            </w:r>
          </w:p>
        </w:tc>
      </w:tr>
      <w:tr>
        <w:tc>
          <w:tcPr/>
          <w:p>
            <w:pPr>
              <w:pStyle w:val="Compact"/>
            </w:pPr>
            <w:r>
              <w:t xml:space="preserve">5–7</w:t>
            </w:r>
          </w:p>
        </w:tc>
        <w:tc>
          <w:tcPr/>
          <w:p>
            <w:pPr>
              <w:pStyle w:val="Compact"/>
            </w:pPr>
            <w:r>
              <w:t xml:space="preserve">Officer exemptions: new house, new vineyard, betrothed wife — return home</w:t>
            </w:r>
          </w:p>
        </w:tc>
        <w:tc>
          <w:tcPr/>
          <w:p>
            <w:pPr>
              <w:pStyle w:val="Compact"/>
            </w:pPr>
            <w:r>
              <w:t xml:space="preserve">Each exemption represents an ordinary created good; holy war does not consume all of life</w:t>
            </w:r>
          </w:p>
        </w:tc>
      </w:tr>
      <w:tr>
        <w:tc>
          <w:tcPr/>
          <w:p>
            <w:pPr>
              <w:pStyle w:val="Compact"/>
            </w:pPr>
            <w:r>
              <w:t xml:space="preserve">8</w:t>
            </w:r>
          </w:p>
        </w:tc>
        <w:tc>
          <w:tcPr/>
          <w:p>
            <w:pPr>
              <w:pStyle w:val="Compact"/>
            </w:pPr>
            <w:r>
              <w:t xml:space="preserve">Fourth exemption: the fearful and faint-hearted —</w:t>
            </w:r>
            <w:r>
              <w:t xml:space="preserve"> </w:t>
            </w:r>
            <w:r>
              <w:t xml:space="preserve">“lest he make his brothers’ hearts melt like his own”</w:t>
            </w:r>
          </w:p>
        </w:tc>
        <w:tc>
          <w:tcPr/>
          <w:p>
            <w:pPr>
              <w:pStyle w:val="Compact"/>
            </w:pPr>
            <w:r>
              <w:t xml:space="preserve">Unbelief is socially contagious; this is the most theologically weighted exemption</w:t>
            </w:r>
          </w:p>
        </w:tc>
      </w:tr>
      <w:tr>
        <w:tc>
          <w:tcPr/>
          <w:p>
            <w:pPr>
              <w:pStyle w:val="Compact"/>
            </w:pPr>
            <w:r>
              <w:t xml:space="preserve">9</w:t>
            </w:r>
          </w:p>
        </w:tc>
        <w:tc>
          <w:tcPr/>
          <w:p>
            <w:pPr>
              <w:pStyle w:val="Compact"/>
            </w:pPr>
            <w:r>
              <w:t xml:space="preserve">Commanders appointed over the army after exemptions are processed</w:t>
            </w:r>
          </w:p>
        </w:tc>
        <w:tc>
          <w:tcPr/>
          <w:p>
            <w:pPr>
              <w:pStyle w:val="Compact"/>
            </w:pPr>
            <w:r>
              <w:t xml:space="preserve">Orderly, prepared engagement — not reckless</w:t>
            </w:r>
          </w:p>
        </w:tc>
      </w:tr>
      <w:tr>
        <w:tc>
          <w:tcPr/>
          <w:p>
            <w:pPr>
              <w:pStyle w:val="Compact"/>
            </w:pPr>
            <w:r>
              <w:t xml:space="preserve">10–11</w:t>
            </w:r>
          </w:p>
        </w:tc>
        <w:tc>
          <w:tcPr/>
          <w:p>
            <w:pPr>
              <w:pStyle w:val="Compact"/>
            </w:pPr>
            <w:r>
              <w:t xml:space="preserve">Distant cities: offer terms of peace first; if accepted, they become tribute labor</w:t>
            </w:r>
          </w:p>
        </w:tc>
        <w:tc>
          <w:tcPr/>
          <w:p>
            <w:pPr>
              <w:pStyle w:val="Compact"/>
            </w:pPr>
            <w:r>
              <w:t xml:space="preserve">Even in commanded warfare, peace is the first offer — escalation is sequential</w:t>
            </w:r>
          </w:p>
        </w:tc>
      </w:tr>
      <w:tr>
        <w:tc>
          <w:tcPr/>
          <w:p>
            <w:pPr>
              <w:pStyle w:val="Compact"/>
            </w:pPr>
            <w:r>
              <w:t xml:space="preserve">12–15</w:t>
            </w:r>
          </w:p>
        </w:tc>
        <w:tc>
          <w:tcPr/>
          <w:p>
            <w:pPr>
              <w:pStyle w:val="Compact"/>
            </w:pPr>
            <w:r>
              <w:t xml:space="preserve">Distant cities: if peace is refused, besiege; all males killed, women/children/livestock taken as plunder</w:t>
            </w:r>
          </w:p>
        </w:tc>
        <w:tc>
          <w:tcPr/>
          <w:p>
            <w:pPr>
              <w:pStyle w:val="Compact"/>
            </w:pPr>
            <w:r>
              <w:t xml:space="preserve">Severe but bounded — this is not</w:t>
            </w:r>
            <w:r>
              <w:t xml:space="preserve"> </w:t>
            </w:r>
            <w:r>
              <w:rPr>
                <w:i/>
                <w:iCs/>
              </w:rPr>
              <w:t xml:space="preserve">herem</w:t>
            </w:r>
            <w:r>
              <w:t xml:space="preserve">; it is the common practice of ancient Near Eastern warfare regulated and limited</w:t>
            </w:r>
          </w:p>
        </w:tc>
      </w:tr>
      <w:tr>
        <w:tc>
          <w:tcPr/>
          <w:p>
            <w:pPr>
              <w:pStyle w:val="Compact"/>
            </w:pPr>
            <w:r>
              <w:t xml:space="preserve">16–18</w:t>
            </w:r>
          </w:p>
        </w:tc>
        <w:tc>
          <w:tcPr/>
          <w:p>
            <w:pPr>
              <w:pStyle w:val="Compact"/>
            </w:pPr>
            <w:r>
              <w:t xml:space="preserve">Canaanite nations within the land:</w:t>
            </w:r>
            <w:r>
              <w:t xml:space="preserve"> </w:t>
            </w:r>
            <w:r>
              <w:rPr>
                <w:i/>
                <w:iCs/>
              </w:rPr>
              <w:t xml:space="preserve">herem</w:t>
            </w:r>
            <w:r>
              <w:t xml:space="preserve"> </w:t>
            </w:r>
            <w:r>
              <w:t xml:space="preserve">— devote everything that breathes to destruction</w:t>
            </w:r>
          </w:p>
        </w:tc>
        <w:tc>
          <w:tcPr/>
          <w:p>
            <w:pPr>
              <w:pStyle w:val="Compact"/>
            </w:pPr>
            <w:r>
              <w:t xml:space="preserve">Rationale stated explicitly in v. 18: to prevent religious contamination and idolatry; this is the highest-stakes provision</w:t>
            </w:r>
          </w:p>
        </w:tc>
      </w:tr>
      <w:tr>
        <w:tc>
          <w:tcPr/>
          <w:p>
            <w:pPr>
              <w:pStyle w:val="Compact"/>
            </w:pPr>
            <w:r>
              <w:t xml:space="preserve">19–20</w:t>
            </w:r>
          </w:p>
        </w:tc>
        <w:tc>
          <w:tcPr/>
          <w:p>
            <w:pPr>
              <w:pStyle w:val="Compact"/>
            </w:pPr>
            <w:r>
              <w:t xml:space="preserve">Siege instruction: do not cut down fruit trees; you may cut non-fruit-bearing trees for siege works</w:t>
            </w:r>
          </w:p>
        </w:tc>
        <w:tc>
          <w:tcPr/>
          <w:p>
            <w:pPr>
              <w:pStyle w:val="Compact"/>
            </w:pPr>
            <w:r>
              <w:t xml:space="preserve">“Is the tree a man that it should be besieged by you?”</w:t>
            </w:r>
            <w:r>
              <w:t xml:space="preserve"> </w:t>
            </w:r>
            <w:r>
              <w:t xml:space="preserve">— creation is not the enemy; restraint is part of holy war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Theological Foundation: Fear No Enemy Because the LORD Fights</w:t>
            </w:r>
          </w:p>
        </w:tc>
      </w:tr>
      <w:tr>
        <w:tc>
          <w:tcPr/>
          <w:p>
            <w:pPr>
              <w:pStyle w:val="Compact"/>
            </w:pPr>
            <w:r>
              <w:t xml:space="preserve">2</w:t>
            </w:r>
          </w:p>
        </w:tc>
        <w:tc>
          <w:tcPr/>
          <w:p>
            <w:pPr>
              <w:pStyle w:val="Compact"/>
            </w:pPr>
            <w:r>
              <w:t xml:space="preserve">5–9</w:t>
            </w:r>
          </w:p>
        </w:tc>
        <w:tc>
          <w:tcPr/>
          <w:p>
            <w:pPr>
              <w:pStyle w:val="Compact"/>
            </w:pPr>
            <w:r>
              <w:t xml:space="preserve">The Exemptions: Who Is Unfit for Holy War and Why</w:t>
            </w:r>
          </w:p>
        </w:tc>
      </w:tr>
      <w:tr>
        <w:tc>
          <w:tcPr/>
          <w:p>
            <w:pPr>
              <w:pStyle w:val="Compact"/>
            </w:pPr>
            <w:r>
              <w:t xml:space="preserve">3</w:t>
            </w:r>
          </w:p>
        </w:tc>
        <w:tc>
          <w:tcPr/>
          <w:p>
            <w:pPr>
              <w:pStyle w:val="Compact"/>
            </w:pPr>
            <w:r>
              <w:t xml:space="preserve">10–15</w:t>
            </w:r>
          </w:p>
        </w:tc>
        <w:tc>
          <w:tcPr/>
          <w:p>
            <w:pPr>
              <w:pStyle w:val="Compact"/>
            </w:pPr>
            <w:r>
              <w:t xml:space="preserve">The Near Rule: Terms of Peace for Distant Cities</w:t>
            </w:r>
          </w:p>
        </w:tc>
      </w:tr>
      <w:tr>
        <w:tc>
          <w:tcPr/>
          <w:p>
            <w:pPr>
              <w:pStyle w:val="Compact"/>
            </w:pPr>
            <w:r>
              <w:t xml:space="preserve">4</w:t>
            </w:r>
          </w:p>
        </w:tc>
        <w:tc>
          <w:tcPr/>
          <w:p>
            <w:pPr>
              <w:pStyle w:val="Compact"/>
            </w:pPr>
            <w:r>
              <w:t xml:space="preserve">16–18</w:t>
            </w:r>
          </w:p>
        </w:tc>
        <w:tc>
          <w:tcPr/>
          <w:p>
            <w:pPr>
              <w:pStyle w:val="Compact"/>
            </w:pPr>
            <w:r>
              <w:t xml:space="preserve">The</w:t>
            </w:r>
            <w:r>
              <w:t xml:space="preserve"> </w:t>
            </w:r>
            <w:r>
              <w:rPr>
                <w:i/>
                <w:iCs/>
              </w:rPr>
              <w:t xml:space="preserve">Herem</w:t>
            </w:r>
            <w:r>
              <w:t xml:space="preserve"> </w:t>
            </w:r>
            <w:r>
              <w:t xml:space="preserve">Rule: Total Devotion to Destruction for Canaanite Nations</w:t>
            </w:r>
          </w:p>
        </w:tc>
      </w:tr>
      <w:tr>
        <w:tc>
          <w:tcPr/>
          <w:p>
            <w:pPr>
              <w:pStyle w:val="Compact"/>
            </w:pPr>
            <w:r>
              <w:t xml:space="preserve">5</w:t>
            </w:r>
          </w:p>
        </w:tc>
        <w:tc>
          <w:tcPr/>
          <w:p>
            <w:pPr>
              <w:pStyle w:val="Compact"/>
            </w:pPr>
            <w:r>
              <w:t xml:space="preserve">19–20</w:t>
            </w:r>
          </w:p>
        </w:tc>
        <w:tc>
          <w:tcPr/>
          <w:p>
            <w:pPr>
              <w:pStyle w:val="Compact"/>
            </w:pPr>
            <w:r>
              <w:t xml:space="preserve">The Creation Rule: Restraint Even in Warfare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 goes to war under divine command, divine presence, and divine protection — not under its own strength.</w:t>
      </w:r>
    </w:p>
    <w:p>
      <w:pPr>
        <w:pStyle w:val="BodyText"/>
      </w:pPr>
      <w:r>
        <w:rPr>
          <w:b/>
          <w:bCs/>
        </w:rPr>
        <w:t xml:space="preserve">Primary Claim:</w:t>
      </w:r>
      <w:r>
        <w:t xml:space="preserve"> </w:t>
      </w:r>
      <w:r>
        <w:t xml:space="preserve">God is calling His people to replace fear-driven calculation with trust-driven obedience by anchoring their confidence in His presence rather than their own resources — in war as in everything.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w:t>
      </w:r>
      <w:r>
        <w:t xml:space="preserve"> </w:t>
      </w:r>
      <w:r>
        <w:t xml:space="preserve">When you face a situation where the odds are genuinely, objectively against you — the medical report, the financial reality, the relational damage — Deuteronomy 20 is not calling you to deny the size of the threat. The priest does not tell the army that the chariots are smaller than they think. He tells them the LORD is bigger. The problem is not faulty threat assessment; the problem is incomplete threat assessment — you have counted the enemy’s horses but not your God. Reframe the question: not</w:t>
      </w:r>
      <w:r>
        <w:t xml:space="preserve"> </w:t>
      </w:r>
      <w:r>
        <w:t xml:space="preserve">“Can I handle this?”</w:t>
      </w:r>
      <w:r>
        <w:t xml:space="preserve"> </w:t>
      </w:r>
      <w:r>
        <w:t xml:space="preserve">but</w:t>
      </w:r>
      <w:r>
        <w:t xml:space="preserve"> </w:t>
      </w:r>
      <w:r>
        <w:t xml:space="preserve">“Is the LORD with me?”</w:t>
      </w:r>
      <w:r>
        <w:t xml:space="preserve"> </w:t>
      </w:r>
      <w:r>
        <w:t xml:space="preserve">— and if He is, the math is already settled.</w:t>
      </w:r>
    </w:p>
    <w:p>
      <w:pPr>
        <w:pStyle w:val="BodyText"/>
      </w:pPr>
      <w:r>
        <w:rPr>
          <w:b/>
          <w:bCs/>
        </w:rPr>
        <w:t xml:space="preserve">2. (Affections/Worship)</w:t>
      </w:r>
      <w:r>
        <w:t xml:space="preserve"> </w:t>
      </w:r>
      <w:r>
        <w:t xml:space="preserve">The faint-hearted soldier of verse 8 is sent home not because his fear is unusual but because it is infectious. Unbelief does not stay private — it spreads. This passage calls you to examine what you are communicating to the people around you through the quality of your trust in God under pressure. Is your fear making your brothers’ and sisters’ hearts melt? Worship-formed courage — the kind that comes from genuinely reckoning with who God is — is itself a form of ministry to the community of faith. Cultivate it not just for yourself but for those watching.</w:t>
      </w:r>
    </w:p>
    <w:p>
      <w:pPr>
        <w:pStyle w:val="BodyText"/>
      </w:pPr>
      <w:r>
        <w:rPr>
          <w:b/>
          <w:bCs/>
        </w:rPr>
        <w:t xml:space="preserve">3. (Will/Behavior)</w:t>
      </w:r>
      <w:r>
        <w:t xml:space="preserve"> </w:t>
      </w:r>
      <w:r>
        <w:t xml:space="preserve">The exemptions of verses 5–8 establish a principle that cuts against a certain kind of zealotry: God does not require His people to sacrifice every ordinary created good on the altar of the mission. A man who has built a house, planted a vineyard, and married a wife has not failed the mission — he is living out the creational goodness that the mission is designed to protect. Identify where you may be using</w:t>
      </w:r>
      <w:r>
        <w:t xml:space="preserve"> </w:t>
      </w:r>
      <w:r>
        <w:t xml:space="preserve">“consecration”</w:t>
      </w:r>
      <w:r>
        <w:t xml:space="preserve"> </w:t>
      </w:r>
      <w:r>
        <w:t xml:space="preserve">language to justify a neglect of legitimate responsibilities — household, vocation, family — that God Himself calls good. Faithfulness is not always intensity.</w:t>
      </w:r>
    </w:p>
    <w:p>
      <w:pPr>
        <w:pStyle w:val="BodyText"/>
      </w:pPr>
      <w:r>
        <w:rPr>
          <w:b/>
          <w:bCs/>
        </w:rPr>
        <w:t xml:space="preserve">4. (Mind/Belief)</w:t>
      </w:r>
      <w:r>
        <w:t xml:space="preserve"> </w:t>
      </w:r>
      <w:r>
        <w:t xml:space="preserve">The</w:t>
      </w:r>
      <w:r>
        <w:t xml:space="preserve"> </w:t>
      </w:r>
      <w:r>
        <w:rPr>
          <w:i/>
          <w:iCs/>
        </w:rPr>
        <w:t xml:space="preserve">herem</w:t>
      </w:r>
      <w:r>
        <w:t xml:space="preserve"> </w:t>
      </w:r>
      <w:r>
        <w:t xml:space="preserve">command in verses 16–18 carries a rationale that has direct contemporary application: the greatest threat to Israel’s devotion to the LORD is not military defeat but religious contamination — the slow absorption of the surrounding culture’s gods. This passage calls you to ask not</w:t>
      </w:r>
      <w:r>
        <w:t xml:space="preserve"> </w:t>
      </w:r>
      <w:r>
        <w:t xml:space="preserve">“what could destroy me externally?”</w:t>
      </w:r>
      <w:r>
        <w:t xml:space="preserve"> </w:t>
      </w:r>
      <w:r>
        <w:t xml:space="preserve">but</w:t>
      </w:r>
      <w:r>
        <w:t xml:space="preserve"> </w:t>
      </w:r>
      <w:r>
        <w:t xml:space="preserve">“what am I absorbing that is slowly redirecting my worship?”</w:t>
      </w:r>
      <w:r>
        <w:t xml:space="preserve"> </w:t>
      </w:r>
      <w:r>
        <w:t xml:space="preserve">The Canaanite danger was not their armies but their altars. Name the altars in your life — the functional saviors, the rival loyalties, the competing loves — and treat them with the totality that</w:t>
      </w:r>
      <w:r>
        <w:t xml:space="preserve"> </w:t>
      </w:r>
      <w:r>
        <w:rPr>
          <w:i/>
          <w:iCs/>
        </w:rPr>
        <w:t xml:space="preserve">herem</w:t>
      </w:r>
      <w:r>
        <w:t xml:space="preserve"> </w:t>
      </w:r>
      <w:r>
        <w:t xml:space="preserve">implies: no partial surrender, no negotiated coexistence.</w:t>
      </w:r>
    </w:p>
    <w:p>
      <w:pPr>
        <w:pStyle w:val="BodyText"/>
      </w:pPr>
      <w:r>
        <w:rPr>
          <w:b/>
          <w:bCs/>
        </w:rPr>
        <w:t xml:space="preserve">5. (Affections/Worship)</w:t>
      </w:r>
      <w:r>
        <w:t xml:space="preserve"> </w:t>
      </w:r>
      <w:r>
        <w:t xml:space="preserve">The fruit tree provision of verses 19–20 is a rebuke to the totalizing, zero-sum mentality that treats everything as either an instrument of war or an obstacle to it. Even in commanded conflict, the created order retains its God-given goodness and purpose. This is a call to a certain quality of soul — one that can fight when fighting is required without losing the capacity to see a fruit tree as a gift rather than a resource. Cultivate gratitude for the ordinary goods of creation as a spiritual discipline; it is the antidote to the hardening that protracted struggle produces in the soul.</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Deuteronomy 20 teaches that the LORD is not merely Israel’s patron deity who blesses their military campaigns — He is the decisive participant in battle, the one who</w:t>
      </w:r>
      <w:r>
        <w:t xml:space="preserve"> </w:t>
      </w:r>
      <w:r>
        <w:t xml:space="preserve">“goes with you”</w:t>
      </w:r>
      <w:r>
        <w:t xml:space="preserve"> </w:t>
      </w:r>
      <w:r>
        <w:t xml:space="preserve">and</w:t>
      </w:r>
      <w:r>
        <w:t xml:space="preserve"> </w:t>
      </w:r>
      <w:r>
        <w:t xml:space="preserve">“fights for you”</w:t>
      </w:r>
      <w:r>
        <w:t xml:space="preserve"> </w:t>
      </w:r>
      <w:r>
        <w:t xml:space="preserve">in a manner that renders Israel’s own strength secondary. The chapter establishes that divine presence is the foundational military reality: horses, chariots, and superior numbers are all real, but they are all subordinate to the God who brought Israel out of Egypt (v. 1). This means that fear in the face of overwhelming threat is not a normal human response to be managed — it is a theological failure, a failure to reckon with who is in the camp. The</w:t>
      </w:r>
      <w:r>
        <w:t xml:space="preserve"> </w:t>
      </w:r>
      <w:r>
        <w:rPr>
          <w:i/>
          <w:iCs/>
        </w:rPr>
        <w:t xml:space="preserve">herem</w:t>
      </w:r>
      <w:r>
        <w:t xml:space="preserve"> </w:t>
      </w:r>
      <w:r>
        <w:t xml:space="preserve">provisions further reveal that God’s primary concern in holy war is not geopolitical conquest but the preservation of His people’s undivided worship — the enemy to be destroyed is ultimately idolatry, the corruption that severs the covenant relationship. Even the fruit tree provision reflects God’s moral ordering of the created world: warfare operates within theological and creational limits, not as an all-consuming absolute.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Deuteronomy 20 is a foundational expression of the Reformed conviction that God is sovereign over all of history — including its most brutal dimensions — and that His sovereignty is not merely theoretical but practically and decisively engaged on behalf of His covenant people. The chapter’s anti-fear logic is not stoic courage or military optimism but the exact confidence that flows from election and covenant: the God who chose Israel and bound Himself to them in covenant is the God who goes before them in battle, and His presence is the only variable that matters. The</w:t>
      </w:r>
      <w:r>
        <w:t xml:space="preserve"> </w:t>
      </w:r>
      <w:r>
        <w:rPr>
          <w:i/>
          <w:iCs/>
        </w:rPr>
        <w:t xml:space="preserve">herem</w:t>
      </w:r>
      <w:r>
        <w:t xml:space="preserve"> </w:t>
      </w:r>
      <w:r>
        <w:t xml:space="preserve">command, read redemptive-historically, points to the eschatological purification of God’s kingdom that Christ accomplishes definitively through His death, resurrection, and return — not through ethnic warfare but through the conquest of sin, death, and the devil. The application of Deuteronomy 20’s logic to the New Testament believer is not the Crusades but Ephesians 6: the same God, the same presence, the same call to trust rather than fear, now enacted through spiritual weapons in a cosmic conflict. Reformed theology refuses to domesticate</w:t>
      </w:r>
      <w:r>
        <w:t xml:space="preserve"> </w:t>
      </w:r>
      <w:r>
        <w:rPr>
          <w:i/>
          <w:iCs/>
        </w:rPr>
        <w:t xml:space="preserve">herem</w:t>
      </w:r>
      <w:r>
        <w:t xml:space="preserve"> </w:t>
      </w:r>
      <w:r>
        <w:t xml:space="preserve">into either timeless principle or historical irrelevance — it is a covenantal, typological act that finds its fulfillment in Christ.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who goes with you into battle is the same LORD who defeated Pharaoh, parted the sea, and raised Jesus from the dead — and His presence in your situation is the only military assessment that ultimately counts. Stop calculating whether you can afford to trust Him and start asking whether you can afford not to. The question was never whether you can handle this; it was always whether He is with you — and He is.</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Deuteronomy 20 as primarily a warfare manual.</w:t>
      </w:r>
      <w:r>
        <w:t xml:space="preserve"> </w:t>
      </w:r>
      <w:r>
        <w:t xml:space="preserve">This passage is not a handbook for military strategy or a proof-text for just war theory, though it touches both. The chapter’s governing concern is theological — where does Israel place its confidence? Sermons that spend most of their energy on the ANE military context, the</w:t>
      </w:r>
      <w:r>
        <w:t xml:space="preserve"> </w:t>
      </w:r>
      <w:r>
        <w:rPr>
          <w:i/>
          <w:iCs/>
        </w:rPr>
        <w:t xml:space="preserve">herem</w:t>
      </w:r>
      <w:r>
        <w:t xml:space="preserve"> </w:t>
      </w:r>
      <w:r>
        <w:t xml:space="preserve">regulations as ancient practice, or the comparative ethics of warfare miss the chapter’s primary claim entirely. The chapter begins and ends with presence and restraint, not tactics.</w:t>
      </w:r>
    </w:p>
    <w:p>
      <w:pPr>
        <w:numPr>
          <w:ilvl w:val="0"/>
          <w:numId w:val="1002"/>
        </w:numPr>
      </w:pPr>
      <w:r>
        <w:rPr>
          <w:b/>
          <w:bCs/>
        </w:rPr>
        <w:t xml:space="preserve">Avoiding or apologizing for the</w:t>
      </w:r>
      <w:r>
        <w:rPr>
          <w:b/>
          <w:bCs/>
        </w:rPr>
        <w:t xml:space="preserve"> </w:t>
      </w:r>
      <w:r>
        <w:rPr>
          <w:b/>
          <w:bCs/>
          <w:i/>
          <w:iCs/>
        </w:rPr>
        <w:t xml:space="preserve">herem</w:t>
      </w:r>
      <w:r>
        <w:rPr>
          <w:b/>
          <w:bCs/>
        </w:rPr>
        <w:t xml:space="preserve"> </w:t>
      </w:r>
      <w:r>
        <w:rPr>
          <w:b/>
          <w:bCs/>
        </w:rPr>
        <w:t xml:space="preserve">command rather than handling it redemptive-historically.</w:t>
      </w:r>
      <w:r>
        <w:t xml:space="preserve"> </w:t>
      </w:r>
      <w:r>
        <w:t xml:space="preserve">Many preachers either skip verses 16–18 or spend the sermon apologizing for them — in both cases, the text is not being preached. The</w:t>
      </w:r>
      <w:r>
        <w:t xml:space="preserve"> </w:t>
      </w:r>
      <w:r>
        <w:rPr>
          <w:i/>
          <w:iCs/>
        </w:rPr>
        <w:t xml:space="preserve">herem</w:t>
      </w:r>
      <w:r>
        <w:t xml:space="preserve"> </w:t>
      </w:r>
      <w:r>
        <w:t xml:space="preserve">command is not an embarrassment requiring a disclaimer; it is a covenantal act requiring careful redemptive-historical explanation. Its logic — the total removal of whatever corrupts devotion to the LORD — finds fulfillment in Christ and speaks directly to the believer’s own battle with idolatry. Preach it rather than bracket it.</w:t>
      </w:r>
    </w:p>
    <w:p>
      <w:pPr>
        <w:numPr>
          <w:ilvl w:val="0"/>
          <w:numId w:val="1002"/>
        </w:numPr>
      </w:pPr>
      <w:r>
        <w:rPr>
          <w:b/>
          <w:bCs/>
        </w:rPr>
        <w:t xml:space="preserve">Moralizing the exemptions as pastoral generosity without noting their theological function.</w:t>
      </w:r>
      <w:r>
        <w:t xml:space="preserve"> </w:t>
      </w:r>
      <w:r>
        <w:t xml:space="preserve">The exemptions are often preached as God’s kind accommodation of life’s ordinary goods — which is true but incomplete. The deeper reason the fearful are sent home is that unbelief is contagious and that Israel’s victory must not be attributable to their own superior numbers or courage. Missing this flattens the passage’s theology of divine-dependent confidence into general pastoral sensitivity.</w:t>
      </w:r>
    </w:p>
    <w:p>
      <w:pPr>
        <w:numPr>
          <w:ilvl w:val="0"/>
          <w:numId w:val="1002"/>
        </w:numPr>
      </w:pPr>
      <w:r>
        <w:rPr>
          <w:b/>
          <w:bCs/>
        </w:rPr>
        <w:t xml:space="preserve">Applying the passage to spiritual warfare in a way that bypasses the fear diagnosis.</w:t>
      </w:r>
      <w:r>
        <w:t xml:space="preserve"> </w:t>
      </w:r>
      <w:r>
        <w:t xml:space="preserve">Ephesians 6 is the right canonical move, but the application must not jump to</w:t>
      </w:r>
      <w:r>
        <w:t xml:space="preserve"> </w:t>
      </w:r>
      <w:r>
        <w:t xml:space="preserve">“stand firm”</w:t>
      </w:r>
      <w:r>
        <w:t xml:space="preserve"> </w:t>
      </w:r>
      <w:r>
        <w:t xml:space="preserve">as practical strategy without first doing the work of verse 1 — diagnosing the specific fear, naming the specific</w:t>
      </w:r>
      <w:r>
        <w:t xml:space="preserve"> </w:t>
      </w:r>
      <w:r>
        <w:t xml:space="preserve">“horses and chariots”</w:t>
      </w:r>
      <w:r>
        <w:t xml:space="preserve"> </w:t>
      </w:r>
      <w:r>
        <w:t xml:space="preserve">the listener is counting, and pressing the question of whether the LORD’s presence has genuinely been reckoned with.</w:t>
      </w:r>
      <w:r>
        <w:t xml:space="preserve"> </w:t>
      </w:r>
      <w:r>
        <w:t xml:space="preserve">“Fear not”</w:t>
      </w:r>
      <w:r>
        <w:t xml:space="preserve"> </w:t>
      </w:r>
      <w:r>
        <w:t xml:space="preserve">without the theological root (</w:t>
      </w:r>
      <w:r>
        <w:t xml:space="preserve">“because the LORD your God is with you”</w:t>
      </w:r>
      <w:r>
        <w:t xml:space="preserve">) is motivational rhetoric, not exposition.</w:t>
      </w:r>
    </w:p>
    <w:p>
      <w:pPr>
        <w:numPr>
          <w:ilvl w:val="0"/>
          <w:numId w:val="1002"/>
        </w:numPr>
      </w:pPr>
      <w:r>
        <w:rPr>
          <w:b/>
          <w:bCs/>
        </w:rPr>
        <w:t xml:space="preserve">Using the fruit tree provision as a freestanding creation-care text.</w:t>
      </w:r>
      <w:r>
        <w:t xml:space="preserve"> </w:t>
      </w:r>
      <w:r>
        <w:t xml:space="preserve">Verses 19–20 are sometimes extracted and pressed into service as a general environmental ethics passage. While the creation-care instinct behind this reading is not wrong, the text’s primary force is moral and theological — restraint in warfare flows from recognizing that creation is not the enemy and that even conflict has God-given limits. Preaching it as a standalone ecological mandate detaches it from its covenantal context and flattens its more pointed claim about the character of holy-war restraint.</w:t>
      </w:r>
    </w:p>
    <w:p>
      <w:pPr>
        <w:numPr>
          <w:ilvl w:val="0"/>
          <w:numId w:val="1002"/>
        </w:numPr>
      </w:pPr>
      <w:r>
        <w:rPr>
          <w:b/>
          <w:bCs/>
        </w:rPr>
        <w:t xml:space="preserve">Failing to connect the theological logic of Deuteronomy 20:1–4 to the Exodus.</w:t>
      </w:r>
      <w:r>
        <w:t xml:space="preserve"> </w:t>
      </w:r>
      <w:r>
        <w:t xml:space="preserve">Verse 1 explicitly anchors the anti-fear command in the Exodus:</w:t>
      </w:r>
      <w:r>
        <w:t xml:space="preserve"> </w:t>
      </w:r>
      <w:r>
        <w:t xml:space="preserve">“the LORD your God, who brought you out of the land of Egypt.”</w:t>
      </w:r>
      <w:r>
        <w:t xml:space="preserve"> </w:t>
      </w:r>
      <w:r>
        <w:t xml:space="preserve">This is not incidental — the Exodus is the definitive demonstration that the LORD fights for His people against overwhelming odds. Every application of this passage depends on taking the Exodus seriously as the interpretive key. Preachers who skip this anchor cut the passage loose from its theological foundation and reduce</w:t>
      </w:r>
      <w:r>
        <w:t xml:space="preserve"> </w:t>
      </w:r>
      <w:r>
        <w:t xml:space="preserve">“the LORD is with you”</w:t>
      </w:r>
      <w:r>
        <w:t xml:space="preserve"> </w:t>
      </w:r>
      <w:r>
        <w:t xml:space="preserve">to a generic divine presence claim rather than the covenantally specific, historically demonstrated reality that the text intends.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2026-07-14T21:02:07Z</dcterms:created>
  <dcterms:modified xsi:type="dcterms:W3CDTF">2026-07-14T21:02:07Z</dcterms:modified>
</cp:coreProperties>
</file>

<file path=docProps/custom.xml><?xml version="1.0" encoding="utf-8"?>
<Properties xmlns="http://schemas.openxmlformats.org/officeDocument/2006/custom-properties" xmlns:vt="http://schemas.openxmlformats.org/officeDocument/2006/docPropsVTypes"/>
</file>